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3734" w14:textId="77777777" w:rsidR="00512755" w:rsidRDefault="009336B6">
      <w:pPr>
        <w:jc w:val="center"/>
      </w:pPr>
      <w:r>
        <w:t xml:space="preserve">To view Specifier Notes: TOOLS/OPTIONS/VIEW/HIDDEN TEXT </w:t>
      </w:r>
    </w:p>
    <w:p w14:paraId="60026AFA" w14:textId="77777777" w:rsidR="00512755" w:rsidRDefault="009336B6">
      <w:pPr>
        <w:jc w:val="center"/>
      </w:pPr>
      <w:r>
        <w:t>To print Specifier Notes: FILE/PRINT/OPTIONS/HIDDEN TEXT</w:t>
      </w:r>
    </w:p>
    <w:p w14:paraId="57CEF5A6" w14:textId="77777777" w:rsidR="00512755" w:rsidRDefault="009336B6">
      <w:pPr>
        <w:pStyle w:val="specnote"/>
        <w:divId w:val="1137648054"/>
      </w:pPr>
      <w:r>
        <w:rPr>
          <w:b/>
        </w:rPr>
        <w:t>Vitro Architectural Glass</w:t>
      </w:r>
    </w:p>
    <w:p w14:paraId="39B2D2AC" w14:textId="77777777" w:rsidR="00512755" w:rsidRDefault="009336B6">
      <w:pPr>
        <w:pStyle w:val="specnote"/>
        <w:divId w:val="1137648054"/>
      </w:pPr>
      <w:r>
        <w:rPr>
          <w:noProof/>
        </w:rPr>
        <w:drawing>
          <wp:inline distT="0" distB="0" distL="0" distR="0" wp14:anchorId="7F9516E9" wp14:editId="159CE16F">
            <wp:extent cx="7620" cy="7620"/>
            <wp:effectExtent l="0" t="0" r="0" b="0"/>
            <wp:docPr id="1" name="Picture 1" descr="Vitro Ideascap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tro Ideascaps logo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t xml:space="preserve">From the aqua-blue sheen of </w:t>
      </w:r>
      <w:r>
        <w:rPr>
          <w:rStyle w:val="Emphasis"/>
          <w:rFonts w:ascii="Verdana" w:hAnsi="Verdana"/>
          <w:b/>
          <w:bCs/>
        </w:rPr>
        <w:t>Azuria™</w:t>
      </w:r>
      <w:r>
        <w:t xml:space="preserve"> Glass to the ultra-clear transparency of </w:t>
      </w:r>
      <w:r>
        <w:rPr>
          <w:rStyle w:val="Emphasis"/>
          <w:rFonts w:ascii="Verdana" w:hAnsi="Verdana"/>
          <w:b/>
          <w:bCs/>
        </w:rPr>
        <w:t>Starphire®</w:t>
      </w:r>
      <w:r>
        <w:t xml:space="preserve"> Glass, Vitro offers architects an almost limitless array of aesthetic options. </w:t>
      </w:r>
      <w:r>
        <w:rPr>
          <w:rStyle w:val="Strong"/>
          <w:rFonts w:ascii="Verdana" w:hAnsi="Verdana"/>
          <w:i/>
          <w:iCs/>
        </w:rPr>
        <w:t>Solarban </w:t>
      </w:r>
      <w:r>
        <w:rPr>
          <w:b/>
          <w:i/>
        </w:rPr>
        <w:t>60</w:t>
      </w:r>
      <w:r>
        <w:t xml:space="preserve"> and </w:t>
      </w:r>
      <w:r>
        <w:rPr>
          <w:rStyle w:val="Strong"/>
          <w:rFonts w:ascii="Verdana" w:hAnsi="Verdana"/>
          <w:i/>
          <w:iCs/>
        </w:rPr>
        <w:t>Solarban </w:t>
      </w:r>
      <w:r>
        <w:rPr>
          <w:b/>
          <w:i/>
        </w:rPr>
        <w:t>80</w:t>
      </w:r>
      <w:r>
        <w:t xml:space="preserve"> Solar Control Low-E Glasses and the new </w:t>
      </w:r>
      <w:r>
        <w:rPr>
          <w:b/>
          <w:i/>
        </w:rPr>
        <w:t>Solarban 70XL</w:t>
      </w:r>
      <w:r>
        <w:t xml:space="preserve"> set the standard for superior solar control along with exceptional levels of visible light transmittance. </w:t>
      </w:r>
      <w:r>
        <w:rPr>
          <w:rStyle w:val="Emphasis"/>
          <w:rFonts w:ascii="Verdana" w:hAnsi="Verdana"/>
          <w:b/>
          <w:bCs/>
        </w:rPr>
        <w:t>Oceans of Color</w:t>
      </w:r>
      <w:r>
        <w:t>® Spectrally Selective Tinted Glasses (</w:t>
      </w:r>
      <w:r>
        <w:rPr>
          <w:rStyle w:val="Emphasis"/>
          <w:rFonts w:ascii="Verdana" w:hAnsi="Verdana"/>
          <w:b/>
          <w:bCs/>
        </w:rPr>
        <w:t>Atlantica</w:t>
      </w:r>
      <w:r>
        <w:t xml:space="preserve">™, </w:t>
      </w:r>
      <w:r>
        <w:rPr>
          <w:rStyle w:val="Strong"/>
          <w:rFonts w:ascii="Verdana" w:hAnsi="Verdana"/>
          <w:i/>
          <w:iCs/>
        </w:rPr>
        <w:t>Azuria</w:t>
      </w:r>
      <w:r>
        <w:t xml:space="preserve">, </w:t>
      </w:r>
      <w:r>
        <w:rPr>
          <w:rStyle w:val="Emphasis"/>
          <w:rFonts w:ascii="Verdana" w:hAnsi="Verdana"/>
          <w:b/>
          <w:bCs/>
        </w:rPr>
        <w:t>Caribia</w:t>
      </w:r>
      <w:r>
        <w:t xml:space="preserve">® and </w:t>
      </w:r>
      <w:r>
        <w:rPr>
          <w:rStyle w:val="Emphasis"/>
          <w:rFonts w:ascii="Verdana" w:hAnsi="Verdana"/>
          <w:b/>
          <w:bCs/>
        </w:rPr>
        <w:t>Solexia</w:t>
      </w:r>
      <w:r>
        <w:t xml:space="preserve">™ glasses) have Light-to-Solar Gain (LSG) ratios of up to 1.56 in four ocean-inspired tints, ranging from a subtle light green to a brilliant aqua-blue. For greater solar control, Oceans of Color tints can be combined with </w:t>
      </w:r>
      <w:r>
        <w:rPr>
          <w:rStyle w:val="Emphasis"/>
          <w:rFonts w:ascii="Verdana" w:hAnsi="Verdana"/>
          <w:b/>
          <w:bCs/>
        </w:rPr>
        <w:t>Solarban </w:t>
      </w:r>
      <w:r>
        <w:rPr>
          <w:b/>
          <w:i/>
        </w:rPr>
        <w:t>60</w:t>
      </w:r>
      <w:r>
        <w:t xml:space="preserve"> in an insulating glass unit to produce LSG ratios of up to 1.74. </w:t>
      </w:r>
      <w:r>
        <w:rPr>
          <w:rStyle w:val="Emphasis"/>
          <w:rFonts w:ascii="Verdana" w:hAnsi="Verdana"/>
          <w:b/>
          <w:bCs/>
        </w:rPr>
        <w:t>Solarban </w:t>
      </w:r>
      <w:r>
        <w:rPr>
          <w:b/>
          <w:i/>
        </w:rPr>
        <w:t>60</w:t>
      </w:r>
      <w:r>
        <w:t xml:space="preserve"> </w:t>
      </w:r>
      <w:r>
        <w:rPr>
          <w:rStyle w:val="Emphasis"/>
          <w:rFonts w:ascii="Verdana" w:hAnsi="Verdana"/>
          <w:b/>
          <w:bCs/>
        </w:rPr>
        <w:t xml:space="preserve">Starphire </w:t>
      </w:r>
      <w:r>
        <w:t xml:space="preserve">features the clarity of an ultra-clear glass, along with excellent solar control characteristics. The revolutionary new </w:t>
      </w:r>
      <w:r>
        <w:rPr>
          <w:b/>
          <w:i/>
        </w:rPr>
        <w:t>Solarban 70XL</w:t>
      </w:r>
      <w:r>
        <w:t xml:space="preserve"> offers an astonishing LSG ratio of 2.33, allowing designers to increase areas of vision glass in highly energy-efficient applications.</w:t>
      </w:r>
    </w:p>
    <w:p w14:paraId="1C48E382" w14:textId="77777777" w:rsidR="00512755" w:rsidRDefault="009336B6">
      <w:pPr>
        <w:pStyle w:val="specnote"/>
        <w:divId w:val="1137648054"/>
      </w:pPr>
      <w:r>
        <w:t xml:space="preserve">Vitro Certified™ Network Programs: Vitro Architectural Glass products are available through a network of rigorously audited Vitro Certified™ Network. These select companies offer architects: Vitro high-performance glass products, accelerated lead times, in-stock replacement glass, and regional sourcing. Thanks to the popularity and success of its Certified Fabricator Program, Vitro has expanded the concept to include Certified Commercial Window Fabricator and Certified Laminator programs. </w:t>
      </w:r>
    </w:p>
    <w:p w14:paraId="334CAF98" w14:textId="77777777" w:rsidR="00512755" w:rsidRDefault="009336B6">
      <w:pPr>
        <w:pStyle w:val="specnote"/>
        <w:divId w:val="1137648054"/>
      </w:pPr>
      <w:r>
        <w:t>Vitro Ideascapes offers integrated products, services, and people to inspire your design and color vision. We recommend you consult with your regional Vitro architectural representative, who can be contacted through: Vitro Architectural Glass, Cheswick, PA, (888) 774-4332, Email: </w:t>
      </w:r>
      <w:hyperlink r:id="rId7" w:history="1">
        <w:r>
          <w:rPr>
            <w:rStyle w:val="Hyperlink"/>
          </w:rPr>
          <w:t>archservices@vitro.com</w:t>
        </w:r>
      </w:hyperlink>
      <w:r>
        <w:br/>
      </w:r>
      <w:hyperlink r:id="rId8" w:history="1">
        <w:r>
          <w:rPr>
            <w:rStyle w:val="Hyperlink"/>
          </w:rPr>
          <w:t>http://www.vitroglazings.com</w:t>
        </w:r>
      </w:hyperlink>
      <w:r>
        <w:t>.</w:t>
      </w:r>
    </w:p>
    <w:p w14:paraId="1FF92AFE" w14:textId="77777777" w:rsidR="00512755" w:rsidRDefault="009336B6">
      <w:pPr>
        <w:pStyle w:val="specnote"/>
        <w:divId w:val="1137648054"/>
      </w:pPr>
      <w:r>
        <w:t>Vitro products appear in the following MasterFormat 2004 Sections:</w:t>
      </w:r>
    </w:p>
    <w:p w14:paraId="34F324C5" w14:textId="77777777" w:rsidR="00512755" w:rsidRDefault="009336B6">
      <w:pPr>
        <w:pStyle w:val="specnote"/>
        <w:divId w:val="1137648054"/>
      </w:pPr>
      <w:r>
        <w:t xml:space="preserve">   Section 05 05 13 – Shop-Applied Coatings for Metal</w:t>
      </w:r>
    </w:p>
    <w:p w14:paraId="6ED672E1" w14:textId="77777777" w:rsidR="00512755" w:rsidRDefault="009336B6">
      <w:pPr>
        <w:pStyle w:val="specnote"/>
        <w:divId w:val="1137648054"/>
      </w:pPr>
      <w:r>
        <w:t xml:space="preserve">   Section 08 80 00 – Glazing</w:t>
      </w:r>
    </w:p>
    <w:p w14:paraId="34020F5C" w14:textId="77777777" w:rsidR="00512755" w:rsidRDefault="009336B6">
      <w:pPr>
        <w:pStyle w:val="specnote"/>
        <w:divId w:val="1137648054"/>
      </w:pPr>
      <w:r>
        <w:t xml:space="preserve">   Section 09 91 13 – Exterior Painting</w:t>
      </w:r>
    </w:p>
    <w:p w14:paraId="4E140C5F" w14:textId="77777777" w:rsidR="00512755" w:rsidRDefault="009336B6">
      <w:pPr>
        <w:pStyle w:val="specnote"/>
        <w:divId w:val="1137648054"/>
      </w:pPr>
      <w:r>
        <w:t xml:space="preserve">   Section 09 91 23 – Interior Painting</w:t>
      </w:r>
    </w:p>
    <w:p w14:paraId="722B6B14" w14:textId="77777777" w:rsidR="00512755" w:rsidRDefault="009336B6">
      <w:pPr>
        <w:pStyle w:val="specnote"/>
        <w:divId w:val="1137648054"/>
      </w:pPr>
      <w:r>
        <w:t xml:space="preserve">   Section 09 93 00 – Staining and Transparent Finishing</w:t>
      </w:r>
    </w:p>
    <w:p w14:paraId="06B7E4EA" w14:textId="77777777" w:rsidR="00512755" w:rsidRDefault="009336B6">
      <w:pPr>
        <w:pStyle w:val="specnote"/>
        <w:divId w:val="1137648054"/>
      </w:pPr>
      <w:r>
        <w:t xml:space="preserve">   Section 09 96 00 – High Performance Coatings</w:t>
      </w:r>
    </w:p>
    <w:p w14:paraId="57D5A838" w14:textId="77777777" w:rsidR="00512755" w:rsidRDefault="009336B6">
      <w:pPr>
        <w:pStyle w:val="specnote"/>
        <w:divId w:val="1137648054"/>
      </w:pPr>
      <w:r>
        <w:t xml:space="preserve">   Section 09 96 33 – High Temperature-Resistant Coatings</w:t>
      </w:r>
    </w:p>
    <w:p w14:paraId="3AA34390" w14:textId="77777777" w:rsidR="00512755" w:rsidRDefault="009336B6">
      <w:pPr>
        <w:pStyle w:val="specnote"/>
        <w:divId w:val="1137648054"/>
      </w:pPr>
      <w:r>
        <w:t xml:space="preserve">   Section 09 96 46 – Intumescent Painting</w:t>
      </w:r>
    </w:p>
    <w:p w14:paraId="2463AF46" w14:textId="77777777" w:rsidR="00512755" w:rsidRDefault="009336B6">
      <w:pPr>
        <w:pStyle w:val="specnote"/>
        <w:divId w:val="1137648054"/>
      </w:pPr>
      <w:r>
        <w:t xml:space="preserve">   Section 09 96 53 – Elastomeric Coatings</w:t>
      </w:r>
    </w:p>
    <w:p w14:paraId="1F47E09B" w14:textId="77777777" w:rsidR="00512755" w:rsidRDefault="009336B6">
      <w:pPr>
        <w:pStyle w:val="specnote"/>
        <w:divId w:val="1137648054"/>
      </w:pPr>
      <w:r>
        <w:t xml:space="preserve">   Section 09 96 33 – High Temperature-Resistant Coatings</w:t>
      </w:r>
    </w:p>
    <w:p w14:paraId="23805B6C" w14:textId="77777777" w:rsidR="00512755" w:rsidRDefault="009336B6">
      <w:pPr>
        <w:pStyle w:val="specnote"/>
        <w:divId w:val="1137648054"/>
      </w:pPr>
      <w:r>
        <w:t xml:space="preserve">   Section 09 97 26 – Cementitious Coatings</w:t>
      </w:r>
    </w:p>
    <w:p w14:paraId="0E401228" w14:textId="77777777" w:rsidR="00512755" w:rsidRDefault="009336B6">
      <w:pPr>
        <w:pStyle w:val="specnote"/>
        <w:divId w:val="1137648054"/>
      </w:pPr>
      <w:r>
        <w:t xml:space="preserve">   Section 09 96 33 – High Temperature-Resistant Coatings</w:t>
      </w:r>
    </w:p>
    <w:p w14:paraId="4B054CCA" w14:textId="77777777" w:rsidR="00512755" w:rsidRDefault="009336B6">
      <w:pPr>
        <w:pStyle w:val="specnote"/>
        <w:divId w:val="1137648054"/>
      </w:pPr>
      <w:r>
        <w:t>Specifier: The specifier may select CSI MasterFormat 95 or MasterFormat 2004 section numbering as required. Some items in the text are bolded for editing convenience; remove bolds from final draft by highlighting document and toggling bolds: CONTROL-A, CONTROL-B.</w:t>
      </w:r>
    </w:p>
    <w:p w14:paraId="255FCD6E" w14:textId="77777777" w:rsidR="00512755" w:rsidRDefault="009336B6">
      <w:pPr>
        <w:pStyle w:val="stylesctcentered"/>
      </w:pPr>
      <w:r>
        <w:t>SECTION 08 80 00 - GLAZING</w:t>
      </w:r>
    </w:p>
    <w:p w14:paraId="6758CBF3" w14:textId="77777777" w:rsidR="00512755" w:rsidRDefault="009336B6">
      <w:pPr>
        <w:pStyle w:val="stylesctcentered"/>
      </w:pPr>
      <w:r>
        <w:t>SECTION 08800 - GLAZING</w:t>
      </w:r>
    </w:p>
    <w:p w14:paraId="420B88A8" w14:textId="77777777" w:rsidR="00512755" w:rsidRDefault="009336B6">
      <w:pPr>
        <w:pStyle w:val="specnote"/>
        <w:divId w:val="354770673"/>
      </w:pPr>
      <w:r>
        <w:t>Specifier: Glass and interlayer units in glazing schedules below are examples only and should be reviewed with respect to project requirements and requirements of authorities having jurisdiction. Drawings should indicate required locations for safety glass. Additional options and combinations of glass products are available. Many options available from Vitro are not published; we recommend you review project requirements with Vitro representative. Recommendations vary significantly by project type and location.</w:t>
      </w:r>
    </w:p>
    <w:p w14:paraId="4F8665E1" w14:textId="3FE91704" w:rsidR="00512755" w:rsidRDefault="009336B6">
      <w:pPr>
        <w:pStyle w:val="art"/>
      </w:pPr>
      <w:r>
        <w:t xml:space="preserve">INSULATING-GLASS UNIT(S) </w:t>
      </w:r>
    </w:p>
    <w:p w14:paraId="71FF4233" w14:textId="26A2CA29" w:rsidR="00512755" w:rsidRDefault="009336B6">
      <w:pPr>
        <w:pStyle w:val="pr1"/>
      </w:pPr>
      <w:r>
        <w:t xml:space="preserve">A. </w:t>
      </w:r>
      <w:r>
        <w:rPr>
          <w:rFonts w:ascii="Times New Roman" w:hAnsi="Times New Roman" w:cs="Times New Roman"/>
          <w:sz w:val="14"/>
          <w:szCs w:val="14"/>
        </w:rPr>
        <w:t xml:space="preserve">         </w:t>
      </w:r>
      <w:r>
        <w:t xml:space="preserve">Double Glazed Solar Control </w:t>
      </w:r>
      <w:r w:rsidR="00C42B8A" w:rsidRPr="0075706F">
        <w:rPr>
          <w:i/>
          <w:iCs/>
        </w:rPr>
        <w:t>Vacu</w:t>
      </w:r>
      <w:r w:rsidR="00FE30D9" w:rsidRPr="0075706F">
        <w:rPr>
          <w:i/>
          <w:iCs/>
        </w:rPr>
        <w:t>M</w:t>
      </w:r>
      <w:r w:rsidR="00C42B8A" w:rsidRPr="0075706F">
        <w:rPr>
          <w:i/>
          <w:iCs/>
        </w:rPr>
        <w:t>ax</w:t>
      </w:r>
      <w:r w:rsidR="00C42B8A">
        <w:t xml:space="preserve">™ Vacuum </w:t>
      </w:r>
      <w:r>
        <w:t>Insulating Glass Unit [</w:t>
      </w:r>
      <w:r w:rsidR="00C42B8A">
        <w:t>Low-e</w:t>
      </w:r>
      <w:r w:rsidR="00CB12EB">
        <w:t xml:space="preserve"> Coating</w:t>
      </w:r>
      <w:r>
        <w:t xml:space="preserve"> on </w:t>
      </w:r>
      <w:r w:rsidR="00E703DE">
        <w:t>Clear</w:t>
      </w:r>
      <w:r w:rsidR="00F71DE7">
        <w:t xml:space="preserve"> 4</w:t>
      </w:r>
      <w:r>
        <w:t xml:space="preserve">mm (2) | </w:t>
      </w:r>
      <w:r w:rsidR="00F71DE7">
        <w:t>Vac</w:t>
      </w:r>
      <w:r w:rsidR="00520B0A">
        <w:t>uum Space</w:t>
      </w:r>
      <w:r>
        <w:t xml:space="preserve"> (</w:t>
      </w:r>
      <w:r w:rsidR="00F71DE7">
        <w:t>0</w:t>
      </w:r>
      <w:r>
        <w:t>.</w:t>
      </w:r>
      <w:r w:rsidR="00F71DE7">
        <w:t>3</w:t>
      </w:r>
      <w:r>
        <w:t xml:space="preserve">mm) | Clear </w:t>
      </w:r>
      <w:r w:rsidR="00520B0A">
        <w:t>4</w:t>
      </w:r>
      <w:r>
        <w:t xml:space="preserve">mm] </w:t>
      </w:r>
    </w:p>
    <w:p w14:paraId="689B9A15" w14:textId="4A03DAF4" w:rsidR="00512755" w:rsidRDefault="009336B6">
      <w:pPr>
        <w:pStyle w:val="pr2"/>
      </w:pPr>
      <w:r>
        <w:t>1.</w:t>
      </w:r>
      <w:r>
        <w:rPr>
          <w:rFonts w:ascii="Times New Roman" w:hAnsi="Times New Roman" w:cs="Times New Roman"/>
          <w:sz w:val="14"/>
          <w:szCs w:val="14"/>
        </w:rPr>
        <w:t xml:space="preserve">         </w:t>
      </w:r>
      <w:r>
        <w:t xml:space="preserve">Conformance: ASTM E2190 </w:t>
      </w:r>
    </w:p>
    <w:p w14:paraId="347305B3" w14:textId="375DA066" w:rsidR="00512755" w:rsidRDefault="009336B6">
      <w:pPr>
        <w:pStyle w:val="pr2"/>
      </w:pPr>
      <w:r>
        <w:t>2.</w:t>
      </w:r>
      <w:r>
        <w:rPr>
          <w:rFonts w:ascii="Times New Roman" w:hAnsi="Times New Roman" w:cs="Times New Roman"/>
          <w:sz w:val="14"/>
          <w:szCs w:val="14"/>
        </w:rPr>
        <w:t xml:space="preserve">         </w:t>
      </w:r>
      <w:r>
        <w:t xml:space="preserve">Outdoor Lite: </w:t>
      </w:r>
      <w:r w:rsidR="00520B0A">
        <w:t>Clear</w:t>
      </w:r>
      <w:r>
        <w:t xml:space="preserve"> Float Glass </w:t>
      </w:r>
    </w:p>
    <w:p w14:paraId="3BAE7759" w14:textId="10F3B0F0" w:rsidR="00512755" w:rsidRDefault="009336B6">
      <w:pPr>
        <w:pStyle w:val="pr3"/>
      </w:pPr>
      <w:r>
        <w:t xml:space="preserve">a. Conformance: ASTM C1036, Type 1, Class 2, Quality q3. </w:t>
      </w:r>
    </w:p>
    <w:p w14:paraId="2F256A93" w14:textId="4CD88E89" w:rsidR="00512755" w:rsidRDefault="009336B6">
      <w:pPr>
        <w:pStyle w:val="pr3"/>
      </w:pPr>
      <w:r>
        <w:t xml:space="preserve">b. Glass Thickness: </w:t>
      </w:r>
      <w:r w:rsidR="00520B0A">
        <w:t>4</w:t>
      </w:r>
      <w:r>
        <w:t>mm (</w:t>
      </w:r>
      <w:r w:rsidR="00123C90">
        <w:t>5/32</w:t>
      </w:r>
      <w:r>
        <w:t xml:space="preserve">") </w:t>
      </w:r>
    </w:p>
    <w:p w14:paraId="497649B1" w14:textId="6FD7A90C" w:rsidR="00512755" w:rsidRDefault="009336B6">
      <w:pPr>
        <w:pStyle w:val="pr3"/>
      </w:pPr>
      <w:r>
        <w:t xml:space="preserve">c. Magnetic Sputter Vacuum Deposition Coating (MSVD): ASTM C1376. </w:t>
      </w:r>
    </w:p>
    <w:p w14:paraId="59F5DF4B" w14:textId="34D35753" w:rsidR="00512755" w:rsidRDefault="009336B6">
      <w:pPr>
        <w:pStyle w:val="pr3"/>
      </w:pPr>
      <w:r>
        <w:t xml:space="preserve">d. Coating: </w:t>
      </w:r>
      <w:r w:rsidR="00A47A55" w:rsidRPr="0075706F">
        <w:rPr>
          <w:i/>
          <w:iCs/>
        </w:rPr>
        <w:t>Solarban</w:t>
      </w:r>
      <w:r w:rsidR="00A47A55" w:rsidRPr="0075706F">
        <w:rPr>
          <w:vertAlign w:val="superscript"/>
        </w:rPr>
        <w:t>®</w:t>
      </w:r>
      <w:r w:rsidR="00A47A55">
        <w:t xml:space="preserve"> 70 on Surface # 2</w:t>
      </w:r>
    </w:p>
    <w:p w14:paraId="488431D6" w14:textId="3EF1E982" w:rsidR="00512755" w:rsidRDefault="009336B6">
      <w:pPr>
        <w:pStyle w:val="pr3"/>
      </w:pPr>
      <w:r>
        <w:t>e. Heat-Treatment: Tempered; ASTM C 1048, Kind FT; Safety Glazing meets ANSI Z97.1 and CPSC 16CFR-</w:t>
      </w:r>
      <w:proofErr w:type="gramStart"/>
      <w:r>
        <w:t>1201</w:t>
      </w:r>
      <w:proofErr w:type="gramEnd"/>
    </w:p>
    <w:p w14:paraId="1278C6AC" w14:textId="398C3980" w:rsidR="00512755" w:rsidRDefault="009336B6">
      <w:pPr>
        <w:pStyle w:val="pr2"/>
      </w:pPr>
      <w:r>
        <w:t>3.</w:t>
      </w:r>
      <w:r>
        <w:rPr>
          <w:rFonts w:ascii="Times New Roman" w:hAnsi="Times New Roman" w:cs="Times New Roman"/>
          <w:sz w:val="14"/>
          <w:szCs w:val="14"/>
        </w:rPr>
        <w:t xml:space="preserve">         </w:t>
      </w:r>
      <w:r>
        <w:t xml:space="preserve">Interspace Content: </w:t>
      </w:r>
      <w:r w:rsidR="008F6F92">
        <w:t>Vacuum Space</w:t>
      </w:r>
      <w:r>
        <w:t xml:space="preserve"> 1/</w:t>
      </w:r>
      <w:r w:rsidR="00E02154">
        <w:t>64</w:t>
      </w:r>
      <w:r>
        <w:t>" (</w:t>
      </w:r>
      <w:r w:rsidR="00D727D4">
        <w:t>0</w:t>
      </w:r>
      <w:r>
        <w:t>.</w:t>
      </w:r>
      <w:r w:rsidR="00D727D4">
        <w:t>3</w:t>
      </w:r>
      <w:r>
        <w:t xml:space="preserve">mm) </w:t>
      </w:r>
    </w:p>
    <w:p w14:paraId="2A7E0B3C" w14:textId="4B8EB8AB" w:rsidR="00E116CD" w:rsidRDefault="009336B6" w:rsidP="00E116CD">
      <w:pPr>
        <w:pStyle w:val="pr2"/>
      </w:pPr>
      <w:r>
        <w:t>4.</w:t>
      </w:r>
      <w:r>
        <w:rPr>
          <w:rFonts w:ascii="Times New Roman" w:hAnsi="Times New Roman" w:cs="Times New Roman"/>
          <w:sz w:val="14"/>
          <w:szCs w:val="14"/>
        </w:rPr>
        <w:t xml:space="preserve">         </w:t>
      </w:r>
      <w:r>
        <w:t xml:space="preserve">Indoor Lite: Clear float </w:t>
      </w:r>
      <w:r w:rsidR="00155B45">
        <w:t>G</w:t>
      </w:r>
      <w:r>
        <w:t xml:space="preserve">lass </w:t>
      </w:r>
    </w:p>
    <w:p w14:paraId="12C43E4F" w14:textId="6197F797" w:rsidR="00512755" w:rsidRDefault="00FF62A8" w:rsidP="00E116CD">
      <w:pPr>
        <w:pStyle w:val="pr2"/>
      </w:pPr>
      <w:r>
        <w:tab/>
      </w:r>
      <w:r w:rsidR="009336B6">
        <w:t xml:space="preserve">a. Conformance: ASTM C1036, Type 1, Class 1, Quality q3. </w:t>
      </w:r>
    </w:p>
    <w:p w14:paraId="0D9724A2" w14:textId="5A61CAD4" w:rsidR="00512755" w:rsidRDefault="009336B6">
      <w:pPr>
        <w:pStyle w:val="pr3"/>
      </w:pPr>
      <w:r>
        <w:t xml:space="preserve">b. Heat-Treatment: Tempered; ASTM C 1048, Kind FT; Safety Glazing meets ANSI Z97.1 and CPSC 16CFR-1201 </w:t>
      </w:r>
    </w:p>
    <w:p w14:paraId="7A651CB6" w14:textId="59FD6607" w:rsidR="00512755" w:rsidRDefault="009336B6">
      <w:pPr>
        <w:pStyle w:val="pr3"/>
      </w:pPr>
      <w:r>
        <w:t xml:space="preserve">c. Glass Thickness: </w:t>
      </w:r>
      <w:r w:rsidR="008F6F92">
        <w:t>4</w:t>
      </w:r>
      <w:r>
        <w:t>mm (</w:t>
      </w:r>
      <w:r w:rsidR="008F6F92">
        <w:t>5</w:t>
      </w:r>
      <w:r>
        <w:t>/</w:t>
      </w:r>
      <w:r w:rsidR="008F6F92">
        <w:t>32</w:t>
      </w:r>
      <w:r>
        <w:t xml:space="preserve">") </w:t>
      </w:r>
    </w:p>
    <w:p w14:paraId="140B655C" w14:textId="77777777" w:rsidR="00512755" w:rsidRDefault="009336B6">
      <w:pPr>
        <w:pStyle w:val="pr2"/>
      </w:pPr>
      <w:r>
        <w:t>5.</w:t>
      </w:r>
      <w:r>
        <w:rPr>
          <w:rFonts w:ascii="Times New Roman" w:hAnsi="Times New Roman" w:cs="Times New Roman"/>
          <w:sz w:val="14"/>
          <w:szCs w:val="14"/>
        </w:rPr>
        <w:t xml:space="preserve">         </w:t>
      </w:r>
      <w:r>
        <w:t xml:space="preserve">Performance Requirements: </w:t>
      </w:r>
    </w:p>
    <w:p w14:paraId="143C3BFD" w14:textId="54B8C91D" w:rsidR="00512755" w:rsidRDefault="009336B6">
      <w:pPr>
        <w:pStyle w:val="pr3"/>
      </w:pPr>
      <w:r>
        <w:t xml:space="preserve">a. Visible Light Transmittance: </w:t>
      </w:r>
      <w:r w:rsidR="00AC05D3">
        <w:t>62</w:t>
      </w:r>
      <w:r w:rsidR="004F72D7">
        <w:t xml:space="preserve"> </w:t>
      </w:r>
      <w:r>
        <w:t>percent minimum.</w:t>
      </w:r>
    </w:p>
    <w:p w14:paraId="65D609E9" w14:textId="64DCBF95" w:rsidR="00512755" w:rsidRDefault="009336B6">
      <w:pPr>
        <w:pStyle w:val="pr3"/>
      </w:pPr>
      <w:r>
        <w:t>b. Winter Nighttime U-Factor: 0.</w:t>
      </w:r>
      <w:r w:rsidR="00206E29">
        <w:t>0</w:t>
      </w:r>
      <w:r w:rsidR="00AC05D3">
        <w:t>5</w:t>
      </w:r>
      <w:r>
        <w:t xml:space="preserve"> (Btu/</w:t>
      </w:r>
      <w:proofErr w:type="spellStart"/>
      <w:r>
        <w:t>hr</w:t>
      </w:r>
      <w:proofErr w:type="spellEnd"/>
      <w:r>
        <w:t>*ft</w:t>
      </w:r>
      <w:r>
        <w:rPr>
          <w:vertAlign w:val="superscript"/>
        </w:rPr>
        <w:t>2</w:t>
      </w:r>
      <w:r>
        <w:t>*°F) maximum.</w:t>
      </w:r>
    </w:p>
    <w:p w14:paraId="5F4727E7" w14:textId="4DC32FE2" w:rsidR="00512755" w:rsidRDefault="009336B6">
      <w:pPr>
        <w:pStyle w:val="pr3"/>
      </w:pPr>
      <w:r>
        <w:t xml:space="preserve">c. </w:t>
      </w:r>
      <w:proofErr w:type="gramStart"/>
      <w:r>
        <w:t>Summer</w:t>
      </w:r>
      <w:proofErr w:type="gramEnd"/>
      <w:r>
        <w:t xml:space="preserve"> daytime U-Factor: 0.</w:t>
      </w:r>
      <w:r w:rsidR="00206E29">
        <w:t>0</w:t>
      </w:r>
      <w:r w:rsidR="001E2235">
        <w:t>6</w:t>
      </w:r>
      <w:r>
        <w:t xml:space="preserve"> (Btu/</w:t>
      </w:r>
      <w:proofErr w:type="spellStart"/>
      <w:r>
        <w:t>hr</w:t>
      </w:r>
      <w:proofErr w:type="spellEnd"/>
      <w:r>
        <w:t>*ft</w:t>
      </w:r>
      <w:r>
        <w:rPr>
          <w:vertAlign w:val="superscript"/>
        </w:rPr>
        <w:t>2</w:t>
      </w:r>
      <w:r>
        <w:t>*°F) maximum.</w:t>
      </w:r>
    </w:p>
    <w:p w14:paraId="47D2B736" w14:textId="4FA446DC" w:rsidR="00512755" w:rsidRDefault="009336B6">
      <w:pPr>
        <w:pStyle w:val="pr3"/>
      </w:pPr>
      <w:r>
        <w:t>d. Shading Coefficient: 0.</w:t>
      </w:r>
      <w:r w:rsidR="001E2235">
        <w:t>29</w:t>
      </w:r>
      <w:r>
        <w:t xml:space="preserve"> maximum.</w:t>
      </w:r>
    </w:p>
    <w:p w14:paraId="79CB7AD7" w14:textId="1382724D" w:rsidR="00512755" w:rsidRDefault="009336B6">
      <w:pPr>
        <w:pStyle w:val="pr3"/>
      </w:pPr>
      <w:r>
        <w:t>e. Solar Heat Gain Coefficient: 0.</w:t>
      </w:r>
      <w:r w:rsidR="001E2235">
        <w:t>25</w:t>
      </w:r>
      <w:r w:rsidR="00EF3CBD">
        <w:t xml:space="preserve"> </w:t>
      </w:r>
      <w:r>
        <w:t>maximum.</w:t>
      </w:r>
    </w:p>
    <w:p w14:paraId="0E347D59" w14:textId="4E8A353C" w:rsidR="00512755" w:rsidRDefault="009336B6">
      <w:pPr>
        <w:pStyle w:val="pr3"/>
      </w:pPr>
      <w:r>
        <w:t xml:space="preserve">f. Outdoor Visible Light Reflectance: </w:t>
      </w:r>
      <w:r w:rsidR="00EF3CBD">
        <w:t>1</w:t>
      </w:r>
      <w:r w:rsidR="001E2235">
        <w:t>3</w:t>
      </w:r>
      <w:r>
        <w:t xml:space="preserve"> percent maximum.</w:t>
      </w:r>
    </w:p>
    <w:p w14:paraId="680A5C31" w14:textId="77777777" w:rsidR="00512755" w:rsidRDefault="009336B6">
      <w:pPr>
        <w:pStyle w:val="specnote"/>
        <w:divId w:val="1029334311"/>
      </w:pPr>
      <w:r>
        <w:rPr>
          <w:b/>
        </w:rPr>
        <w:t>Evaluating Submittals and Substitution Requests:</w:t>
      </w:r>
      <w:r>
        <w:t xml:space="preserve"> When reviewing submittals or substitution requests for other products for compliance with this specification, Vitro recommends particular attention to the following issues:</w:t>
      </w:r>
    </w:p>
    <w:p w14:paraId="707FB5D7" w14:textId="77777777" w:rsidR="00512755" w:rsidRDefault="009336B6">
      <w:pPr>
        <w:pStyle w:val="specnote"/>
        <w:divId w:val="1029334311"/>
      </w:pPr>
      <w:r>
        <w:rPr>
          <w:rFonts w:ascii="Symbol" w:eastAsia="Symbol" w:hAnsi="Symbol" w:cs="Symbol"/>
          <w:color w:val="auto"/>
          <w:sz w:val="24"/>
          <w:szCs w:val="24"/>
        </w:rPr>
        <w:t></w:t>
      </w:r>
      <w:r>
        <w:t>Confirm that all required submittal items have been provided before reviewing submittal.</w:t>
      </w:r>
    </w:p>
    <w:p w14:paraId="6E6FE47A" w14:textId="77777777" w:rsidR="00512755" w:rsidRDefault="009336B6">
      <w:pPr>
        <w:pStyle w:val="specnote"/>
        <w:divId w:val="1029334311"/>
      </w:pPr>
      <w:r>
        <w:rPr>
          <w:rFonts w:ascii="Symbol" w:eastAsia="Symbol" w:hAnsi="Symbol" w:cs="Symbol"/>
          <w:color w:val="auto"/>
          <w:sz w:val="24"/>
          <w:szCs w:val="24"/>
        </w:rPr>
        <w:t></w:t>
      </w:r>
      <w:r>
        <w:t>Review proposed warranty terms and conditions.</w:t>
      </w:r>
    </w:p>
    <w:p w14:paraId="559D0166" w14:textId="77777777" w:rsidR="00512755" w:rsidRDefault="009336B6">
      <w:pPr>
        <w:pStyle w:val="specnote"/>
        <w:divId w:val="1029334311"/>
      </w:pPr>
      <w:r>
        <w:rPr>
          <w:rFonts w:ascii="Symbol" w:eastAsia="Symbol" w:hAnsi="Symbol" w:cs="Symbol"/>
          <w:color w:val="auto"/>
          <w:sz w:val="24"/>
          <w:szCs w:val="24"/>
        </w:rPr>
        <w:t></w:t>
      </w:r>
      <w:r>
        <w:t xml:space="preserve">Confirm manufacturer/fabricator has certified that proposed materials in each installation method are compatible. </w:t>
      </w:r>
    </w:p>
    <w:p w14:paraId="034B813F" w14:textId="77777777" w:rsidR="00512755" w:rsidRDefault="009336B6">
      <w:pPr>
        <w:pStyle w:val="specnote"/>
        <w:divId w:val="1029334311"/>
      </w:pPr>
      <w:r>
        <w:rPr>
          <w:rFonts w:ascii="Symbol" w:eastAsia="Symbol" w:hAnsi="Symbol" w:cs="Symbol"/>
          <w:color w:val="auto"/>
          <w:sz w:val="24"/>
          <w:szCs w:val="24"/>
        </w:rPr>
        <w:t></w:t>
      </w:r>
      <w:r>
        <w:t>Verify glazing sealant adhesion to specified glazing framing finish.</w:t>
      </w:r>
    </w:p>
    <w:p w14:paraId="02AA038A" w14:textId="77777777" w:rsidR="00512755" w:rsidRDefault="009336B6">
      <w:pPr>
        <w:pStyle w:val="specnote"/>
        <w:divId w:val="1029334311"/>
      </w:pPr>
      <w:r>
        <w:rPr>
          <w:rFonts w:ascii="Symbol" w:eastAsia="Symbol" w:hAnsi="Symbol" w:cs="Symbol"/>
          <w:color w:val="auto"/>
          <w:sz w:val="24"/>
          <w:szCs w:val="24"/>
        </w:rPr>
        <w:t></w:t>
      </w:r>
      <w:r>
        <w:t>Confirm that proposed products meet general performance requirements and specific requirements for each glazing unit type.</w:t>
      </w:r>
    </w:p>
    <w:p w14:paraId="4F567AB5" w14:textId="77777777" w:rsidR="00512755" w:rsidRDefault="009336B6">
      <w:pPr>
        <w:pStyle w:val="specnote"/>
        <w:divId w:val="1029334311"/>
      </w:pPr>
      <w:r>
        <w:rPr>
          <w:rFonts w:ascii="Symbol" w:eastAsia="Symbol" w:hAnsi="Symbol" w:cs="Symbol"/>
          <w:color w:val="auto"/>
          <w:sz w:val="24"/>
          <w:szCs w:val="24"/>
        </w:rPr>
        <w:t></w:t>
      </w:r>
      <w:r>
        <w:t>Confirm scheduled availability through qualified manufacturer/fabricator.</w:t>
      </w:r>
    </w:p>
    <w:p w14:paraId="43AE5DB9" w14:textId="77777777" w:rsidR="00512755" w:rsidRDefault="009336B6">
      <w:pPr>
        <w:pStyle w:val="specnote"/>
        <w:divId w:val="1029334311"/>
      </w:pPr>
      <w:r>
        <w:rPr>
          <w:b/>
        </w:rPr>
        <w:t>Coordination with Drawings and other sections:</w:t>
      </w:r>
      <w:r>
        <w:t xml:space="preserve"> Vitro recommends you coordinate the following:</w:t>
      </w:r>
    </w:p>
    <w:p w14:paraId="134E4A97" w14:textId="77777777" w:rsidR="00512755" w:rsidRDefault="009336B6">
      <w:pPr>
        <w:pStyle w:val="specnote"/>
        <w:divId w:val="1029334311"/>
      </w:pPr>
      <w:r>
        <w:rPr>
          <w:rFonts w:ascii="Symbol" w:eastAsia="Symbol" w:hAnsi="Symbol" w:cs="Symbol"/>
          <w:color w:val="auto"/>
          <w:sz w:val="24"/>
          <w:szCs w:val="24"/>
        </w:rPr>
        <w:t></w:t>
      </w:r>
      <w:r>
        <w:t>Structural loading on glass, including design wind and snow loads.</w:t>
      </w:r>
    </w:p>
    <w:p w14:paraId="3D90482A" w14:textId="77777777" w:rsidR="00512755" w:rsidRDefault="009336B6">
      <w:pPr>
        <w:pStyle w:val="specnote"/>
        <w:divId w:val="1029334311"/>
      </w:pPr>
      <w:r>
        <w:rPr>
          <w:rFonts w:ascii="Symbol" w:eastAsia="Symbol" w:hAnsi="Symbol" w:cs="Symbol"/>
          <w:color w:val="auto"/>
          <w:sz w:val="24"/>
          <w:szCs w:val="24"/>
        </w:rPr>
        <w:t></w:t>
      </w:r>
      <w:r>
        <w:t>Locations of each type of glazing unit; coordinate with unit designations used in this section.</w:t>
      </w:r>
    </w:p>
    <w:p w14:paraId="632D4DC5" w14:textId="77777777" w:rsidR="00512755" w:rsidRDefault="009336B6">
      <w:pPr>
        <w:pStyle w:val="specnote"/>
        <w:divId w:val="1029334311"/>
      </w:pPr>
      <w:r>
        <w:rPr>
          <w:rFonts w:ascii="Symbol" w:eastAsia="Symbol" w:hAnsi="Symbol" w:cs="Symbol"/>
          <w:color w:val="auto"/>
          <w:sz w:val="24"/>
          <w:szCs w:val="24"/>
        </w:rPr>
        <w:t></w:t>
      </w:r>
      <w:r>
        <w:t>Locations where safety glazing is required.</w:t>
      </w:r>
    </w:p>
    <w:p w14:paraId="5C0D6897" w14:textId="77777777" w:rsidR="00512755" w:rsidRDefault="009336B6">
      <w:pPr>
        <w:pStyle w:val="specnote"/>
        <w:divId w:val="1029334311"/>
      </w:pPr>
      <w:r>
        <w:rPr>
          <w:rFonts w:ascii="Symbol" w:eastAsia="Symbol" w:hAnsi="Symbol" w:cs="Symbol"/>
          <w:color w:val="auto"/>
          <w:sz w:val="24"/>
          <w:szCs w:val="24"/>
        </w:rPr>
        <w:t></w:t>
      </w:r>
      <w:r>
        <w:t>Locations for types of glazing methods, if more than one is used, and details of glazing methods, including profiles of gaskets if used.</w:t>
      </w:r>
    </w:p>
    <w:p w14:paraId="09724386" w14:textId="77777777" w:rsidR="009336B6" w:rsidRDefault="009336B6">
      <w:pPr>
        <w:pStyle w:val="NormalWeb"/>
        <w:jc w:val="center"/>
      </w:pPr>
      <w:r>
        <w:t> </w:t>
      </w:r>
    </w:p>
    <w:sectPr w:rsidR="009336B6">
      <w:headerReference w:type="default" r:id="rId9"/>
      <w:footerReference w:type="default" r:id="rId10"/>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6B34" w14:textId="77777777" w:rsidR="005446E6" w:rsidRDefault="005446E6">
      <w:r>
        <w:separator/>
      </w:r>
    </w:p>
  </w:endnote>
  <w:endnote w:type="continuationSeparator" w:id="0">
    <w:p w14:paraId="303D92E0" w14:textId="77777777" w:rsidR="005446E6" w:rsidRDefault="0054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A7CD" w14:textId="77777777" w:rsidR="00512755" w:rsidRDefault="009336B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r>
      <w:t xml:space="preserve"> © Vitro Architectural Glass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741CC" w14:textId="77777777" w:rsidR="005446E6" w:rsidRDefault="005446E6">
      <w:r>
        <w:separator/>
      </w:r>
    </w:p>
  </w:footnote>
  <w:footnote w:type="continuationSeparator" w:id="0">
    <w:p w14:paraId="70A3F00C" w14:textId="77777777" w:rsidR="005446E6" w:rsidRDefault="00544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583C" w14:textId="77777777" w:rsidR="00512755" w:rsidRDefault="009336B6">
    <w:pPr>
      <w:pStyle w:val="Header"/>
    </w:pPr>
    <w:r>
      <w:rPr>
        <w:noProof/>
      </w:rPr>
      <w:drawing>
        <wp:inline distT="0" distB="0" distL="0" distR="0" wp14:anchorId="569206B4" wp14:editId="3B18055A">
          <wp:extent cx="1219099" cy="56078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219099" cy="5607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F3"/>
    <w:rsid w:val="000D5363"/>
    <w:rsid w:val="00123C90"/>
    <w:rsid w:val="00155B45"/>
    <w:rsid w:val="00167D05"/>
    <w:rsid w:val="00196447"/>
    <w:rsid w:val="001E2235"/>
    <w:rsid w:val="00206E29"/>
    <w:rsid w:val="0028416D"/>
    <w:rsid w:val="00350A3B"/>
    <w:rsid w:val="004F0391"/>
    <w:rsid w:val="004F72D7"/>
    <w:rsid w:val="00512755"/>
    <w:rsid w:val="00520B0A"/>
    <w:rsid w:val="005446E6"/>
    <w:rsid w:val="00566BED"/>
    <w:rsid w:val="005C15E8"/>
    <w:rsid w:val="00611ECB"/>
    <w:rsid w:val="006F19F4"/>
    <w:rsid w:val="00755EB7"/>
    <w:rsid w:val="0075706F"/>
    <w:rsid w:val="00782748"/>
    <w:rsid w:val="008157A4"/>
    <w:rsid w:val="008D3B45"/>
    <w:rsid w:val="008F6F92"/>
    <w:rsid w:val="009336B6"/>
    <w:rsid w:val="0095351F"/>
    <w:rsid w:val="009575DE"/>
    <w:rsid w:val="00A11EF3"/>
    <w:rsid w:val="00A47A55"/>
    <w:rsid w:val="00A6409D"/>
    <w:rsid w:val="00A963A2"/>
    <w:rsid w:val="00AC05D3"/>
    <w:rsid w:val="00C11415"/>
    <w:rsid w:val="00C42B8A"/>
    <w:rsid w:val="00CB12EB"/>
    <w:rsid w:val="00D727D4"/>
    <w:rsid w:val="00D752E6"/>
    <w:rsid w:val="00DF45AA"/>
    <w:rsid w:val="00E02154"/>
    <w:rsid w:val="00E116CD"/>
    <w:rsid w:val="00E703DE"/>
    <w:rsid w:val="00EF3CBD"/>
    <w:rsid w:val="00F71DE7"/>
    <w:rsid w:val="00FE30D9"/>
    <w:rsid w:val="00FF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BD32F"/>
  <w15:chartTrackingRefBased/>
  <w15:docId w15:val="{BA905F2F-4807-4B3B-9BEF-774CFFB9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heme="minorEastAsi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cs="Times New Roman"/>
      <w:sz w:val="24"/>
      <w:szCs w:val="24"/>
    </w:rPr>
  </w:style>
  <w:style w:type="character" w:customStyle="1" w:styleId="HeaderChar">
    <w:name w:val="Header Char"/>
    <w:basedOn w:val="DefaultParagraphFont"/>
    <w:link w:val="Header"/>
    <w:uiPriority w:val="99"/>
    <w:rPr>
      <w:rFonts w:ascii="Tahoma" w:eastAsiaTheme="minorEastAsia" w:hAnsi="Tahoma" w:cs="Tahoma"/>
    </w:rPr>
  </w:style>
  <w:style w:type="paragraph" w:styleId="Footer">
    <w:name w:val="footer"/>
    <w:basedOn w:val="Normal"/>
    <w:link w:val="FooterChar"/>
    <w:uiPriority w:val="99"/>
    <w:unhideWhenUsed/>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cs="Times New Roman"/>
      <w:sz w:val="24"/>
      <w:szCs w:val="24"/>
    </w:rPr>
  </w:style>
  <w:style w:type="character" w:customStyle="1" w:styleId="FooterChar">
    <w:name w:val="Footer Char"/>
    <w:basedOn w:val="DefaultParagraphFont"/>
    <w:link w:val="Footer"/>
    <w:uiPriority w:val="99"/>
    <w:rPr>
      <w:rFonts w:ascii="Tahoma" w:eastAsiaTheme="minorEastAsia" w:hAnsi="Tahoma" w:cs="Tahoma"/>
    </w:rPr>
  </w:style>
  <w:style w:type="paragraph" w:customStyle="1" w:styleId="specnote">
    <w:name w:val="specnote"/>
    <w:basedOn w:val="Normal"/>
    <w:pPr>
      <w:keepNext/>
      <w:spacing w:before="240"/>
      <w:jc w:val="both"/>
    </w:pPr>
    <w:rPr>
      <w:vanish/>
      <w:color w:val="808080"/>
    </w:rPr>
  </w:style>
  <w:style w:type="paragraph" w:customStyle="1" w:styleId="stylesctcentered">
    <w:name w:val="stylesctcentered"/>
    <w:basedOn w:val="Normal"/>
    <w:pPr>
      <w:spacing w:before="240" w:after="240"/>
      <w:jc w:val="center"/>
    </w:pPr>
  </w:style>
  <w:style w:type="paragraph" w:customStyle="1" w:styleId="prt">
    <w:name w:val="prt"/>
    <w:basedOn w:val="Normal"/>
    <w:pPr>
      <w:keepNext/>
      <w:spacing w:before="240"/>
      <w:jc w:val="both"/>
    </w:pPr>
  </w:style>
  <w:style w:type="paragraph" w:customStyle="1" w:styleId="art">
    <w:name w:val="art"/>
    <w:basedOn w:val="Normal"/>
    <w:pPr>
      <w:keepNext/>
      <w:tabs>
        <w:tab w:val="left" w:pos="864"/>
      </w:tabs>
      <w:spacing w:before="240"/>
      <w:ind w:left="864" w:hanging="864"/>
      <w:jc w:val="both"/>
    </w:pPr>
  </w:style>
  <w:style w:type="paragraph" w:customStyle="1" w:styleId="pr1">
    <w:name w:val="pr1"/>
    <w:basedOn w:val="Normal"/>
    <w:pPr>
      <w:tabs>
        <w:tab w:val="left" w:pos="846"/>
      </w:tabs>
      <w:spacing w:before="120"/>
      <w:ind w:left="850" w:hanging="576"/>
      <w:jc w:val="both"/>
    </w:pPr>
  </w:style>
  <w:style w:type="paragraph" w:customStyle="1" w:styleId="pr2">
    <w:name w:val="pr2"/>
    <w:basedOn w:val="Normal"/>
    <w:pPr>
      <w:tabs>
        <w:tab w:val="left" w:pos="1440"/>
      </w:tabs>
      <w:ind w:left="1440" w:hanging="576"/>
      <w:jc w:val="both"/>
    </w:pPr>
  </w:style>
  <w:style w:type="paragraph" w:customStyle="1" w:styleId="pr3">
    <w:name w:val="pr3"/>
    <w:basedOn w:val="Normal"/>
    <w:pPr>
      <w:tabs>
        <w:tab w:val="left" w:pos="2016"/>
      </w:tabs>
      <w:ind w:left="2016" w:hanging="576"/>
      <w:jc w:val="both"/>
    </w:pPr>
  </w:style>
  <w:style w:type="paragraph" w:customStyle="1" w:styleId="auto-style1">
    <w:name w:val="auto-style1"/>
    <w:basedOn w:val="Normal"/>
    <w:pPr>
      <w:ind w:left="2592" w:hanging="576"/>
      <w:jc w:val="both"/>
    </w:p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PageNumber">
    <w:name w:val="page number"/>
    <w:basedOn w:val="DefaultParagraphFont"/>
    <w:uiPriority w:val="99"/>
    <w:semiHidden/>
    <w:unhideWhenUsed/>
  </w:style>
  <w:style w:type="paragraph" w:styleId="Revision">
    <w:name w:val="Revision"/>
    <w:hidden/>
    <w:uiPriority w:val="99"/>
    <w:semiHidden/>
    <w:rsid w:val="000D5363"/>
    <w:rPr>
      <w:rFonts w:ascii="Tahoma" w:eastAsiaTheme="minorEastAsia" w:hAnsi="Tahoma" w:cs="Tahoma"/>
    </w:rPr>
  </w:style>
  <w:style w:type="character" w:styleId="CommentReference">
    <w:name w:val="annotation reference"/>
    <w:basedOn w:val="DefaultParagraphFont"/>
    <w:uiPriority w:val="99"/>
    <w:semiHidden/>
    <w:unhideWhenUsed/>
    <w:rsid w:val="00C11415"/>
    <w:rPr>
      <w:sz w:val="16"/>
      <w:szCs w:val="16"/>
    </w:rPr>
  </w:style>
  <w:style w:type="paragraph" w:styleId="CommentText">
    <w:name w:val="annotation text"/>
    <w:basedOn w:val="Normal"/>
    <w:link w:val="CommentTextChar"/>
    <w:uiPriority w:val="99"/>
    <w:unhideWhenUsed/>
    <w:rsid w:val="00C11415"/>
  </w:style>
  <w:style w:type="character" w:customStyle="1" w:styleId="CommentTextChar">
    <w:name w:val="Comment Text Char"/>
    <w:basedOn w:val="DefaultParagraphFont"/>
    <w:link w:val="CommentText"/>
    <w:uiPriority w:val="99"/>
    <w:rsid w:val="00C11415"/>
    <w:rPr>
      <w:rFonts w:ascii="Tahoma" w:eastAsiaTheme="minorEastAsia" w:hAnsi="Tahoma" w:cs="Tahoma"/>
    </w:rPr>
  </w:style>
  <w:style w:type="paragraph" w:styleId="CommentSubject">
    <w:name w:val="annotation subject"/>
    <w:basedOn w:val="CommentText"/>
    <w:next w:val="CommentText"/>
    <w:link w:val="CommentSubjectChar"/>
    <w:uiPriority w:val="99"/>
    <w:semiHidden/>
    <w:unhideWhenUsed/>
    <w:rsid w:val="00C11415"/>
    <w:rPr>
      <w:b/>
      <w:bCs/>
    </w:rPr>
  </w:style>
  <w:style w:type="character" w:customStyle="1" w:styleId="CommentSubjectChar">
    <w:name w:val="Comment Subject Char"/>
    <w:basedOn w:val="CommentTextChar"/>
    <w:link w:val="CommentSubject"/>
    <w:uiPriority w:val="99"/>
    <w:semiHidden/>
    <w:rsid w:val="00C11415"/>
    <w:rPr>
      <w:rFonts w:ascii="Tahoma" w:eastAsiaTheme="minorEastAsi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1294">
      <w:marLeft w:val="0"/>
      <w:marRight w:val="0"/>
      <w:marTop w:val="0"/>
      <w:marBottom w:val="0"/>
      <w:divBdr>
        <w:top w:val="single" w:sz="4" w:space="1" w:color="999999"/>
        <w:left w:val="single" w:sz="4" w:space="4" w:color="999999"/>
        <w:bottom w:val="single" w:sz="4" w:space="1" w:color="999999"/>
        <w:right w:val="single" w:sz="4" w:space="4" w:color="999999"/>
      </w:divBdr>
    </w:div>
    <w:div w:id="113446637">
      <w:marLeft w:val="0"/>
      <w:marRight w:val="0"/>
      <w:marTop w:val="0"/>
      <w:marBottom w:val="0"/>
      <w:divBdr>
        <w:top w:val="single" w:sz="4" w:space="1" w:color="999999"/>
        <w:left w:val="single" w:sz="4" w:space="4" w:color="999999"/>
        <w:bottom w:val="single" w:sz="4" w:space="1" w:color="999999"/>
        <w:right w:val="single" w:sz="4" w:space="4" w:color="999999"/>
      </w:divBdr>
    </w:div>
    <w:div w:id="354770673">
      <w:marLeft w:val="0"/>
      <w:marRight w:val="0"/>
      <w:marTop w:val="0"/>
      <w:marBottom w:val="0"/>
      <w:divBdr>
        <w:top w:val="single" w:sz="4" w:space="1" w:color="999999"/>
        <w:left w:val="single" w:sz="4" w:space="4" w:color="999999"/>
        <w:bottom w:val="single" w:sz="4" w:space="1" w:color="999999"/>
        <w:right w:val="single" w:sz="4" w:space="4" w:color="999999"/>
      </w:divBdr>
    </w:div>
    <w:div w:id="548109418">
      <w:marLeft w:val="0"/>
      <w:marRight w:val="0"/>
      <w:marTop w:val="0"/>
      <w:marBottom w:val="0"/>
      <w:divBdr>
        <w:top w:val="single" w:sz="4" w:space="1" w:color="999999"/>
        <w:left w:val="single" w:sz="4" w:space="4" w:color="999999"/>
        <w:bottom w:val="single" w:sz="4" w:space="1" w:color="999999"/>
        <w:right w:val="single" w:sz="4" w:space="4" w:color="999999"/>
      </w:divBdr>
    </w:div>
    <w:div w:id="712073408">
      <w:marLeft w:val="0"/>
      <w:marRight w:val="0"/>
      <w:marTop w:val="0"/>
      <w:marBottom w:val="0"/>
      <w:divBdr>
        <w:top w:val="single" w:sz="4" w:space="1" w:color="999999"/>
        <w:left w:val="single" w:sz="4" w:space="4" w:color="999999"/>
        <w:bottom w:val="single" w:sz="4" w:space="1" w:color="999999"/>
        <w:right w:val="single" w:sz="4" w:space="4" w:color="999999"/>
      </w:divBdr>
    </w:div>
    <w:div w:id="754938481">
      <w:marLeft w:val="0"/>
      <w:marRight w:val="0"/>
      <w:marTop w:val="0"/>
      <w:marBottom w:val="0"/>
      <w:divBdr>
        <w:top w:val="single" w:sz="4" w:space="1" w:color="999999"/>
        <w:left w:val="single" w:sz="4" w:space="4" w:color="999999"/>
        <w:bottom w:val="single" w:sz="4" w:space="1" w:color="999999"/>
        <w:right w:val="single" w:sz="4" w:space="4" w:color="999999"/>
      </w:divBdr>
    </w:div>
    <w:div w:id="1029334311">
      <w:marLeft w:val="0"/>
      <w:marRight w:val="0"/>
      <w:marTop w:val="0"/>
      <w:marBottom w:val="0"/>
      <w:divBdr>
        <w:top w:val="single" w:sz="4" w:space="1" w:color="999999"/>
        <w:left w:val="single" w:sz="4" w:space="4" w:color="999999"/>
        <w:bottom w:val="single" w:sz="4" w:space="1" w:color="999999"/>
        <w:right w:val="single" w:sz="4" w:space="4" w:color="999999"/>
      </w:divBdr>
    </w:div>
    <w:div w:id="1042483004">
      <w:marLeft w:val="0"/>
      <w:marRight w:val="0"/>
      <w:marTop w:val="0"/>
      <w:marBottom w:val="0"/>
      <w:divBdr>
        <w:top w:val="single" w:sz="4" w:space="1" w:color="999999"/>
        <w:left w:val="single" w:sz="4" w:space="4" w:color="999999"/>
        <w:bottom w:val="single" w:sz="4" w:space="1" w:color="999999"/>
        <w:right w:val="single" w:sz="4" w:space="4" w:color="999999"/>
      </w:divBdr>
    </w:div>
    <w:div w:id="1090738889">
      <w:marLeft w:val="0"/>
      <w:marRight w:val="0"/>
      <w:marTop w:val="0"/>
      <w:marBottom w:val="0"/>
      <w:divBdr>
        <w:top w:val="single" w:sz="4" w:space="1" w:color="999999"/>
        <w:left w:val="single" w:sz="4" w:space="4" w:color="999999"/>
        <w:bottom w:val="single" w:sz="4" w:space="1" w:color="999999"/>
        <w:right w:val="single" w:sz="4" w:space="4" w:color="999999"/>
      </w:divBdr>
    </w:div>
    <w:div w:id="1137648054">
      <w:marLeft w:val="0"/>
      <w:marRight w:val="0"/>
      <w:marTop w:val="0"/>
      <w:marBottom w:val="0"/>
      <w:divBdr>
        <w:top w:val="single" w:sz="4" w:space="1" w:color="999999"/>
        <w:left w:val="single" w:sz="4" w:space="4" w:color="999999"/>
        <w:bottom w:val="single" w:sz="4" w:space="1" w:color="999999"/>
        <w:right w:val="single" w:sz="4" w:space="4" w:color="999999"/>
      </w:divBdr>
    </w:div>
    <w:div w:id="1167790702">
      <w:marLeft w:val="0"/>
      <w:marRight w:val="0"/>
      <w:marTop w:val="0"/>
      <w:marBottom w:val="0"/>
      <w:divBdr>
        <w:top w:val="single" w:sz="4" w:space="1" w:color="999999"/>
        <w:left w:val="single" w:sz="4" w:space="4" w:color="999999"/>
        <w:bottom w:val="single" w:sz="4" w:space="1" w:color="999999"/>
        <w:right w:val="single" w:sz="4" w:space="4" w:color="999999"/>
      </w:divBdr>
    </w:div>
    <w:div w:id="1499426228">
      <w:marLeft w:val="0"/>
      <w:marRight w:val="0"/>
      <w:marTop w:val="0"/>
      <w:marBottom w:val="0"/>
      <w:divBdr>
        <w:top w:val="single" w:sz="4" w:space="1" w:color="999999"/>
        <w:left w:val="single" w:sz="4" w:space="4" w:color="999999"/>
        <w:bottom w:val="single" w:sz="4" w:space="1" w:color="999999"/>
        <w:right w:val="single" w:sz="4" w:space="4" w:color="999999"/>
      </w:divBdr>
    </w:div>
    <w:div w:id="1683891579">
      <w:marLeft w:val="0"/>
      <w:marRight w:val="0"/>
      <w:marTop w:val="0"/>
      <w:marBottom w:val="0"/>
      <w:divBdr>
        <w:top w:val="single" w:sz="4" w:space="1" w:color="999999"/>
        <w:left w:val="single" w:sz="4" w:space="4" w:color="999999"/>
        <w:bottom w:val="single" w:sz="4" w:space="1" w:color="999999"/>
        <w:right w:val="single" w:sz="4" w:space="4" w:color="999999"/>
      </w:divBdr>
    </w:div>
    <w:div w:id="1894467431">
      <w:marLeft w:val="0"/>
      <w:marRight w:val="0"/>
      <w:marTop w:val="0"/>
      <w:marBottom w:val="0"/>
      <w:divBdr>
        <w:top w:val="single" w:sz="4" w:space="1" w:color="999999"/>
        <w:left w:val="single" w:sz="4" w:space="4" w:color="999999"/>
        <w:bottom w:val="single" w:sz="4" w:space="1" w:color="999999"/>
        <w:right w:val="single" w:sz="4" w:space="4" w:color="999999"/>
      </w:divBdr>
    </w:div>
    <w:div w:id="1903519352">
      <w:marLeft w:val="0"/>
      <w:marRight w:val="0"/>
      <w:marTop w:val="0"/>
      <w:marBottom w:val="0"/>
      <w:divBdr>
        <w:top w:val="single" w:sz="4" w:space="1" w:color="999999"/>
        <w:left w:val="single" w:sz="4" w:space="4" w:color="999999"/>
        <w:bottom w:val="single" w:sz="4" w:space="1" w:color="999999"/>
        <w:right w:val="single" w:sz="4" w:space="4" w:color="999999"/>
      </w:divBdr>
    </w:div>
    <w:div w:id="2036151928">
      <w:marLeft w:val="0"/>
      <w:marRight w:val="0"/>
      <w:marTop w:val="0"/>
      <w:marBottom w:val="0"/>
      <w:divBdr>
        <w:top w:val="single" w:sz="4" w:space="1" w:color="999999"/>
        <w:left w:val="single" w:sz="4" w:space="4" w:color="999999"/>
        <w:bottom w:val="single" w:sz="4" w:space="1" w:color="999999"/>
        <w:right w:val="single" w:sz="4" w:space="4" w:color="999999"/>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roglazings.com" TargetMode="External"/><Relationship Id="rId3" Type="http://schemas.openxmlformats.org/officeDocument/2006/relationships/settings" Target="settings.xml"/><Relationship Id="rId7" Type="http://schemas.openxmlformats.org/officeDocument/2006/relationships/hyperlink" Target="mailto:archservices@vitr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http://construct.vitroglazings.com/Images/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62916-8D54-4804-BDA5-3DD7A61D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5769</Characters>
  <Application>Microsoft Office Word</Application>
  <DocSecurity>4</DocSecurity>
  <Lines>48</Lines>
  <Paragraphs>11</Paragraphs>
  <ScaleCrop>false</ScaleCrop>
  <HeadingPairs>
    <vt:vector size="2" baseType="variant">
      <vt:variant>
        <vt:lpstr>Title</vt:lpstr>
      </vt:variant>
      <vt:variant>
        <vt:i4>1</vt:i4>
      </vt:variant>
    </vt:vector>
  </HeadingPairs>
  <TitlesOfParts>
    <vt:vector size="1" baseType="lpstr">
      <vt:lpstr>3 Part Specs</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Part Specs</dc:title>
  <dc:subject/>
  <dc:creator>Sutton, Daniel</dc:creator>
  <cp:keywords/>
  <dc:description/>
  <cp:lastModifiedBy>Ayla Apitsch</cp:lastModifiedBy>
  <cp:revision>2</cp:revision>
  <dcterms:created xsi:type="dcterms:W3CDTF">2023-08-14T12:34:00Z</dcterms:created>
  <dcterms:modified xsi:type="dcterms:W3CDTF">2023-08-14T12:34:00Z</dcterms:modified>
</cp:coreProperties>
</file>